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8A159" w14:textId="77777777" w:rsidR="002A4B45" w:rsidRPr="00687E50" w:rsidRDefault="002A4B45" w:rsidP="00B166AF">
      <w:pPr>
        <w:spacing w:after="0" w:line="240" w:lineRule="auto"/>
        <w:rPr>
          <w:b/>
        </w:rPr>
      </w:pPr>
      <w:r>
        <w:br/>
      </w:r>
      <w:r w:rsidRPr="00B377AE">
        <w:rPr>
          <w:rFonts w:cs="Calibri"/>
        </w:rPr>
        <w:t>Aan:</w:t>
      </w:r>
      <w:r>
        <w:rPr>
          <w:rFonts w:cs="Calibri"/>
        </w:rPr>
        <w:tab/>
      </w:r>
      <w:r>
        <w:rPr>
          <w:rFonts w:cs="Calibri"/>
        </w:rPr>
        <w:tab/>
        <w:t xml:space="preserve">&lt;naam </w:t>
      </w:r>
      <w:r w:rsidR="00595463">
        <w:rPr>
          <w:rFonts w:cs="Calibri"/>
        </w:rPr>
        <w:t>schuldeiser</w:t>
      </w:r>
      <w:r>
        <w:rPr>
          <w:rFonts w:cs="Calibri"/>
        </w:rPr>
        <w:t>&gt;</w:t>
      </w:r>
      <w:r w:rsidRPr="00B377AE">
        <w:rPr>
          <w:rFonts w:cs="Calibri"/>
        </w:rPr>
        <w:br/>
      </w:r>
      <w:r w:rsidRPr="00B377AE">
        <w:rPr>
          <w:rFonts w:cs="Calibri"/>
        </w:rPr>
        <w:br/>
      </w:r>
      <w:r>
        <w:rPr>
          <w:rFonts w:cs="Calibri"/>
        </w:rPr>
        <w:br/>
      </w:r>
      <w:r>
        <w:rPr>
          <w:rFonts w:cs="Calibri"/>
        </w:rPr>
        <w:br/>
      </w:r>
      <w:r w:rsidRPr="00B377AE">
        <w:rPr>
          <w:rFonts w:cs="Calibri"/>
        </w:rPr>
        <w:t>Datum:</w:t>
      </w:r>
      <w:r w:rsidRPr="00B377AE">
        <w:rPr>
          <w:rFonts w:cs="Calibri"/>
        </w:rPr>
        <w:tab/>
      </w:r>
      <w:r w:rsidRPr="00B377AE">
        <w:rPr>
          <w:rFonts w:cs="Calibri"/>
        </w:rPr>
        <w:tab/>
      </w:r>
      <w:r w:rsidRPr="00B377AE">
        <w:rPr>
          <w:rFonts w:cs="Calibri"/>
        </w:rPr>
        <w:br/>
      </w:r>
      <w:r w:rsidRPr="00B377AE">
        <w:rPr>
          <w:rFonts w:cs="Calibri"/>
        </w:rPr>
        <w:br/>
      </w:r>
      <w:r w:rsidRPr="00B377AE">
        <w:rPr>
          <w:rFonts w:cs="Calibri"/>
        </w:rPr>
        <w:br/>
      </w:r>
      <w:r w:rsidRPr="00687E50">
        <w:rPr>
          <w:rFonts w:cs="Calibri"/>
        </w:rPr>
        <w:t xml:space="preserve">Betreft:  </w:t>
      </w:r>
      <w:r w:rsidR="003011DA">
        <w:t>Verjaringstermijn telefoonabonnement met telefoon</w:t>
      </w:r>
      <w:r w:rsidRPr="00687E50">
        <w:rPr>
          <w:rFonts w:cs="Calibri"/>
        </w:rPr>
        <w:br/>
      </w:r>
      <w:r w:rsidRPr="00B377AE">
        <w:rPr>
          <w:rFonts w:cs="Calibri"/>
        </w:rPr>
        <w:br/>
      </w:r>
      <w:r w:rsidRPr="00B377AE">
        <w:rPr>
          <w:rFonts w:cs="Calibri"/>
        </w:rPr>
        <w:br/>
      </w:r>
      <w:r>
        <w:rPr>
          <w:rFonts w:cs="Calibri"/>
        </w:rPr>
        <w:t>Uw k</w:t>
      </w:r>
      <w:r w:rsidRPr="00B377AE">
        <w:rPr>
          <w:rFonts w:cs="Calibri"/>
        </w:rPr>
        <w:t>enmerk:</w:t>
      </w:r>
      <w:r w:rsidRPr="00B377AE">
        <w:rPr>
          <w:rFonts w:cs="Calibri"/>
        </w:rPr>
        <w:tab/>
      </w:r>
      <w:r w:rsidRPr="00B377AE">
        <w:rPr>
          <w:rFonts w:cs="Calibri"/>
        </w:rPr>
        <w:br/>
      </w:r>
      <w:r>
        <w:rPr>
          <w:rFonts w:cs="Calibri"/>
        </w:rPr>
        <w:br/>
      </w:r>
      <w:r>
        <w:rPr>
          <w:rFonts w:cs="Calibri"/>
        </w:rPr>
        <w:br/>
      </w:r>
      <w:r w:rsidRPr="00D649BA">
        <w:rPr>
          <w:rFonts w:cs="Calibri"/>
          <w:color w:val="FF0000"/>
        </w:rPr>
        <w:t>&lt;Let op! Kijk goed of deze brief  op u</w:t>
      </w:r>
      <w:r>
        <w:rPr>
          <w:rFonts w:cs="Calibri"/>
          <w:color w:val="FF0000"/>
        </w:rPr>
        <w:t>w situatie</w:t>
      </w:r>
      <w:r w:rsidRPr="00D649BA">
        <w:rPr>
          <w:rFonts w:cs="Calibri"/>
          <w:color w:val="FF0000"/>
        </w:rPr>
        <w:t xml:space="preserve"> van toepassing is</w:t>
      </w:r>
      <w:r>
        <w:rPr>
          <w:rFonts w:cs="Calibri"/>
          <w:color w:val="FF0000"/>
        </w:rPr>
        <w:t>. P</w:t>
      </w:r>
      <w:r w:rsidRPr="00D649BA">
        <w:rPr>
          <w:rFonts w:cs="Calibri"/>
          <w:color w:val="FF0000"/>
        </w:rPr>
        <w:t>as ‘m zo nodig aan</w:t>
      </w:r>
      <w:r>
        <w:rPr>
          <w:rFonts w:cs="Calibri"/>
          <w:color w:val="FF0000"/>
        </w:rPr>
        <w:t>.</w:t>
      </w:r>
      <w:r w:rsidRPr="00D649BA">
        <w:rPr>
          <w:rFonts w:cs="Calibri"/>
          <w:color w:val="FF0000"/>
        </w:rPr>
        <w:t>&gt;</w:t>
      </w:r>
    </w:p>
    <w:p w14:paraId="1AA2A2D5" w14:textId="77777777" w:rsidR="002A4B45" w:rsidRDefault="002A4B45" w:rsidP="00B166AF">
      <w:pPr>
        <w:spacing w:after="0" w:line="240" w:lineRule="auto"/>
        <w:rPr>
          <w:rFonts w:cs="Calibri"/>
        </w:rPr>
      </w:pPr>
    </w:p>
    <w:p w14:paraId="6C4D9480" w14:textId="77777777" w:rsidR="00B166AF" w:rsidRPr="00B377AE" w:rsidRDefault="00B166AF" w:rsidP="00B166AF">
      <w:pPr>
        <w:spacing w:after="0" w:line="240" w:lineRule="auto"/>
        <w:rPr>
          <w:rFonts w:cs="Calibri"/>
        </w:rPr>
      </w:pPr>
    </w:p>
    <w:p w14:paraId="7746EB82" w14:textId="77777777" w:rsidR="00CA7584" w:rsidRDefault="00CA7584" w:rsidP="00B166AF">
      <w:pPr>
        <w:spacing w:after="0" w:line="240" w:lineRule="auto"/>
        <w:rPr>
          <w:rFonts w:cs="Calibri"/>
        </w:rPr>
      </w:pPr>
    </w:p>
    <w:p w14:paraId="76C5C18D" w14:textId="77777777" w:rsidR="00CA7584" w:rsidRDefault="00CA7584" w:rsidP="00B166AF">
      <w:pPr>
        <w:spacing w:after="0" w:line="240" w:lineRule="auto"/>
        <w:rPr>
          <w:rFonts w:cs="Calibri"/>
        </w:rPr>
      </w:pPr>
    </w:p>
    <w:p w14:paraId="1B9F2AA5" w14:textId="77777777" w:rsidR="00CA7584" w:rsidRDefault="00CA7584" w:rsidP="00B166AF">
      <w:pPr>
        <w:spacing w:after="0" w:line="240" w:lineRule="auto"/>
        <w:rPr>
          <w:rFonts w:cs="Calibri"/>
        </w:rPr>
      </w:pPr>
    </w:p>
    <w:p w14:paraId="4433CF7D" w14:textId="77777777" w:rsidR="00971EA7" w:rsidRDefault="002A4B45" w:rsidP="00971EA7">
      <w:pPr>
        <w:spacing w:after="0" w:line="240" w:lineRule="auto"/>
      </w:pPr>
      <w:r w:rsidRPr="00B377AE">
        <w:rPr>
          <w:rFonts w:cs="Calibri"/>
        </w:rPr>
        <w:t>Geachte heer, mevrouw,</w:t>
      </w:r>
      <w:r>
        <w:rPr>
          <w:rFonts w:cs="Calibri"/>
        </w:rPr>
        <w:br/>
      </w:r>
      <w:r w:rsidR="00687E50">
        <w:rPr>
          <w:rFonts w:cs="Calibri"/>
        </w:rPr>
        <w:br/>
      </w:r>
      <w:r w:rsidR="00687E50">
        <w:t xml:space="preserve">Op </w:t>
      </w:r>
      <w:r w:rsidR="00687E50" w:rsidRPr="006A0613">
        <w:rPr>
          <w:rFonts w:cs="Calibri"/>
        </w:rPr>
        <w:t>d.d. &lt;</w:t>
      </w:r>
      <w:r w:rsidR="00687E50" w:rsidRPr="00595463">
        <w:rPr>
          <w:rFonts w:cs="Calibri"/>
          <w:i/>
          <w:iCs/>
        </w:rPr>
        <w:t>datum</w:t>
      </w:r>
      <w:r w:rsidR="00687E50" w:rsidRPr="006A0613">
        <w:rPr>
          <w:rFonts w:cs="Calibri"/>
        </w:rPr>
        <w:t xml:space="preserve">&gt;  </w:t>
      </w:r>
      <w:r w:rsidR="00687E50">
        <w:rPr>
          <w:rFonts w:cs="Calibri"/>
        </w:rPr>
        <w:t xml:space="preserve">heb ik van u </w:t>
      </w:r>
      <w:r w:rsidR="00B166AF">
        <w:rPr>
          <w:rFonts w:cs="Calibri"/>
        </w:rPr>
        <w:t xml:space="preserve">een brief ontvangen </w:t>
      </w:r>
      <w:r w:rsidR="003011DA">
        <w:rPr>
          <w:rFonts w:cs="Calibri"/>
        </w:rPr>
        <w:t xml:space="preserve">waarin u aangeeft dat </w:t>
      </w:r>
      <w:r w:rsidR="002B237C">
        <w:rPr>
          <w:rFonts w:cs="Calibri"/>
        </w:rPr>
        <w:t>uw</w:t>
      </w:r>
      <w:r w:rsidR="003011DA">
        <w:rPr>
          <w:rFonts w:cs="Calibri"/>
        </w:rPr>
        <w:t xml:space="preserve"> vordering in bovengenoemd dossier niet </w:t>
      </w:r>
      <w:r w:rsidR="008873D5">
        <w:rPr>
          <w:rFonts w:cs="Calibri"/>
        </w:rPr>
        <w:t xml:space="preserve">is </w:t>
      </w:r>
      <w:r w:rsidR="003011DA">
        <w:rPr>
          <w:rFonts w:cs="Calibri"/>
        </w:rPr>
        <w:t>verjaard</w:t>
      </w:r>
      <w:r w:rsidR="008873D5">
        <w:rPr>
          <w:rFonts w:cs="Calibri"/>
        </w:rPr>
        <w:t xml:space="preserve">, </w:t>
      </w:r>
      <w:r w:rsidR="003011DA">
        <w:rPr>
          <w:rFonts w:cs="Calibri"/>
        </w:rPr>
        <w:t>omdat voor een telefoonabonnement een verjaringstermijn van vijf jaar geldt</w:t>
      </w:r>
      <w:r w:rsidR="00223BDB">
        <w:t xml:space="preserve">. </w:t>
      </w:r>
      <w:r w:rsidR="00223BDB">
        <w:br/>
      </w:r>
      <w:r w:rsidR="00223BDB">
        <w:br/>
      </w:r>
      <w:r w:rsidR="003011DA">
        <w:t xml:space="preserve">In dit geval betreft het echter een telefoonabonnement inclusief </w:t>
      </w:r>
      <w:r w:rsidR="008873D5">
        <w:t xml:space="preserve">de levering van een </w:t>
      </w:r>
      <w:r w:rsidR="003011DA">
        <w:t xml:space="preserve">telefoon. </w:t>
      </w:r>
      <w:r w:rsidR="0015315B">
        <w:t>Voor een telefoonabonnement geldt een verjaringstermijn van vijf jaar (art. 3:307 BW). Bij verkoop van een telefoon is sprake van consumentenkoop en dan geldt een verjaringstermijn van twee jaar (art. 7:28 BW).</w:t>
      </w:r>
      <w:r w:rsidR="003011DA">
        <w:br/>
      </w:r>
      <w:r w:rsidR="0015315B">
        <w:br/>
        <w:t xml:space="preserve">In feite is sprake van </w:t>
      </w:r>
      <w:r w:rsidR="003011DA">
        <w:t>een gemengde overeenkomst</w:t>
      </w:r>
      <w:r w:rsidR="0015315B">
        <w:t xml:space="preserve">. </w:t>
      </w:r>
      <w:r w:rsidR="002B237C">
        <w:t xml:space="preserve">De </w:t>
      </w:r>
      <w:r w:rsidR="00070BEF">
        <w:t xml:space="preserve">extra </w:t>
      </w:r>
      <w:r w:rsidR="002B237C">
        <w:t xml:space="preserve">bescherming die geldt bij consumentenkoop weegt </w:t>
      </w:r>
      <w:r w:rsidR="00070BEF">
        <w:t xml:space="preserve">dan </w:t>
      </w:r>
      <w:r w:rsidR="002B237C">
        <w:t>zwaar</w:t>
      </w:r>
      <w:r w:rsidR="00070BEF">
        <w:t>der en heeft tot gevolg</w:t>
      </w:r>
      <w:r w:rsidR="002B237C">
        <w:t xml:space="preserve"> </w:t>
      </w:r>
      <w:r w:rsidR="00070BEF">
        <w:t>dat de korte termijn van twee jaar geldt. Vergelijk hiervoor het arrest van de Hoge Raad d.d. 10 augustus 2012 (</w:t>
      </w:r>
      <w:hyperlink r:id="rId8" w:history="1">
        <w:r w:rsidR="00070BEF" w:rsidRPr="00070BEF">
          <w:rPr>
            <w:rStyle w:val="Hyperlink"/>
          </w:rPr>
          <w:t>ECLI:NL:HR:2012:BW4992</w:t>
        </w:r>
      </w:hyperlink>
      <w:r w:rsidR="00070BEF">
        <w:t xml:space="preserve">) dat handelde over de verjaringstermijn voor een lening ten behoeve van de aanschaf van een auto. Normaal geldt voor een lening een verjaringstermijn van vijf jaar. Maar wanneer de lening </w:t>
      </w:r>
      <w:r w:rsidR="008873D5">
        <w:t xml:space="preserve">dusdanig </w:t>
      </w:r>
      <w:r w:rsidR="00070BEF">
        <w:t>verbonden is met een consumentenkoop</w:t>
      </w:r>
      <w:r w:rsidR="008873D5">
        <w:t xml:space="preserve"> (het betrof een auto) geldt de verjaringstermijn van twee jaar.</w:t>
      </w:r>
      <w:r w:rsidR="00070BEF">
        <w:br/>
      </w:r>
      <w:r w:rsidR="00070BEF">
        <w:br/>
      </w:r>
      <w:r w:rsidR="008873D5">
        <w:t xml:space="preserve">Uw vordering is dus verjaard. Ik verzoek u om dit dossier te sluiten en mij hierover te berichten. </w:t>
      </w:r>
      <w:r w:rsidR="00971EA7">
        <w:t xml:space="preserve">Wanneer ik binnen twee weken niets van u verneem vertrouw ik er op dat u afziet van verdere invordering. </w:t>
      </w:r>
    </w:p>
    <w:p w14:paraId="12ABB632" w14:textId="77777777" w:rsidR="0033492F" w:rsidRDefault="0033492F" w:rsidP="008F3E6A">
      <w:pPr>
        <w:spacing w:after="0" w:line="240" w:lineRule="auto"/>
      </w:pPr>
    </w:p>
    <w:p w14:paraId="60795016" w14:textId="77777777" w:rsidR="0033492F" w:rsidRDefault="0033492F" w:rsidP="00B166AF">
      <w:pPr>
        <w:spacing w:after="0" w:line="240" w:lineRule="auto"/>
      </w:pPr>
      <w:r>
        <w:t>Hoogachtend,</w:t>
      </w:r>
    </w:p>
    <w:sectPr w:rsidR="0033492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4B146" w14:textId="77777777" w:rsidR="00E13863" w:rsidRDefault="00E13863" w:rsidP="0033492F">
      <w:pPr>
        <w:spacing w:after="0" w:line="240" w:lineRule="auto"/>
      </w:pPr>
      <w:r>
        <w:separator/>
      </w:r>
    </w:p>
  </w:endnote>
  <w:endnote w:type="continuationSeparator" w:id="0">
    <w:p w14:paraId="0BD56ADD" w14:textId="77777777" w:rsidR="00E13863" w:rsidRDefault="00E13863" w:rsidP="00334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BABE1" w14:textId="77777777" w:rsidR="00484FF4" w:rsidRDefault="00223BDB">
    <w:pPr>
      <w:pStyle w:val="Voettekst"/>
    </w:pPr>
    <w:hyperlink r:id="rId1" w:history="1">
      <w:r w:rsidRPr="002D6567">
        <w:rPr>
          <w:rStyle w:val="Hyperlink"/>
        </w:rPr>
        <w:t>www.schuldinfo.nl/verjaring</w:t>
      </w:r>
    </w:hyperlink>
    <w:r>
      <w:t xml:space="preserve"> </w:t>
    </w:r>
    <w:r w:rsidR="008F3E6A">
      <w:t xml:space="preserve"> </w:t>
    </w:r>
    <w:r w:rsidR="00687E50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2577A" w14:textId="77777777" w:rsidR="00E13863" w:rsidRDefault="00E13863" w:rsidP="0033492F">
      <w:pPr>
        <w:spacing w:after="0" w:line="240" w:lineRule="auto"/>
      </w:pPr>
      <w:r>
        <w:separator/>
      </w:r>
    </w:p>
  </w:footnote>
  <w:footnote w:type="continuationSeparator" w:id="0">
    <w:p w14:paraId="66B9CB05" w14:textId="77777777" w:rsidR="00E13863" w:rsidRDefault="00E13863" w:rsidP="003349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B232E"/>
    <w:multiLevelType w:val="hybridMultilevel"/>
    <w:tmpl w:val="B0E60426"/>
    <w:lvl w:ilvl="0" w:tplc="0413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" w15:restartNumberingAfterBreak="0">
    <w:nsid w:val="35040E47"/>
    <w:multiLevelType w:val="hybridMultilevel"/>
    <w:tmpl w:val="D2E4182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A316104"/>
    <w:multiLevelType w:val="hybridMultilevel"/>
    <w:tmpl w:val="3FCE0C30"/>
    <w:lvl w:ilvl="0" w:tplc="AF9ECD5E">
      <w:numFmt w:val="bullet"/>
      <w:lvlText w:val="-"/>
      <w:lvlJc w:val="left"/>
      <w:pPr>
        <w:ind w:left="1126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84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6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8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0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72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4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6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8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94A89"/>
    <w:rsid w:val="00070BEF"/>
    <w:rsid w:val="000858E6"/>
    <w:rsid w:val="00110F58"/>
    <w:rsid w:val="001129FD"/>
    <w:rsid w:val="0015315B"/>
    <w:rsid w:val="001B114C"/>
    <w:rsid w:val="001B1331"/>
    <w:rsid w:val="001C3880"/>
    <w:rsid w:val="00223BDB"/>
    <w:rsid w:val="00294A89"/>
    <w:rsid w:val="002A4B45"/>
    <w:rsid w:val="002B237C"/>
    <w:rsid w:val="002B412A"/>
    <w:rsid w:val="003011DA"/>
    <w:rsid w:val="0033492F"/>
    <w:rsid w:val="00384DAD"/>
    <w:rsid w:val="00484FF4"/>
    <w:rsid w:val="0052779D"/>
    <w:rsid w:val="00595463"/>
    <w:rsid w:val="00611657"/>
    <w:rsid w:val="00687E50"/>
    <w:rsid w:val="006A0613"/>
    <w:rsid w:val="00715BBA"/>
    <w:rsid w:val="00846611"/>
    <w:rsid w:val="00871903"/>
    <w:rsid w:val="008873D5"/>
    <w:rsid w:val="008B0EAE"/>
    <w:rsid w:val="008B4091"/>
    <w:rsid w:val="008F3E6A"/>
    <w:rsid w:val="00971EA7"/>
    <w:rsid w:val="00992A09"/>
    <w:rsid w:val="009C71F9"/>
    <w:rsid w:val="00B166AF"/>
    <w:rsid w:val="00B32FE0"/>
    <w:rsid w:val="00B43BD5"/>
    <w:rsid w:val="00B462DB"/>
    <w:rsid w:val="00B7532C"/>
    <w:rsid w:val="00BD7A03"/>
    <w:rsid w:val="00C24977"/>
    <w:rsid w:val="00CA7584"/>
    <w:rsid w:val="00DB230A"/>
    <w:rsid w:val="00DE2D81"/>
    <w:rsid w:val="00E13863"/>
    <w:rsid w:val="00F4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E94A22E"/>
  <w15:chartTrackingRefBased/>
  <w15:docId w15:val="{728E86FF-A7A0-4E7A-822C-68CD6AFD3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noottekst">
    <w:name w:val="footnote text"/>
    <w:basedOn w:val="Standaard"/>
    <w:link w:val="VoetnoottekstChar"/>
    <w:uiPriority w:val="99"/>
    <w:semiHidden/>
    <w:unhideWhenUsed/>
    <w:rsid w:val="0033492F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link w:val="Voetnoottekst"/>
    <w:uiPriority w:val="99"/>
    <w:semiHidden/>
    <w:rsid w:val="0033492F"/>
    <w:rPr>
      <w:sz w:val="20"/>
      <w:szCs w:val="20"/>
    </w:rPr>
  </w:style>
  <w:style w:type="character" w:styleId="Voetnootmarkering">
    <w:name w:val="footnote reference"/>
    <w:uiPriority w:val="99"/>
    <w:semiHidden/>
    <w:unhideWhenUsed/>
    <w:rsid w:val="0033492F"/>
    <w:rPr>
      <w:vertAlign w:val="superscript"/>
    </w:rPr>
  </w:style>
  <w:style w:type="character" w:styleId="Hyperlink">
    <w:name w:val="Hyperlink"/>
    <w:uiPriority w:val="99"/>
    <w:unhideWhenUsed/>
    <w:rsid w:val="0033492F"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484F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84FF4"/>
  </w:style>
  <w:style w:type="paragraph" w:styleId="Voettekst">
    <w:name w:val="footer"/>
    <w:basedOn w:val="Standaard"/>
    <w:link w:val="VoettekstChar"/>
    <w:uiPriority w:val="99"/>
    <w:unhideWhenUsed/>
    <w:rsid w:val="00484F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84FF4"/>
  </w:style>
  <w:style w:type="paragraph" w:styleId="Ballontekst">
    <w:name w:val="Balloon Text"/>
    <w:basedOn w:val="Standaard"/>
    <w:link w:val="BallontekstChar"/>
    <w:uiPriority w:val="99"/>
    <w:semiHidden/>
    <w:unhideWhenUsed/>
    <w:rsid w:val="00484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484FF4"/>
    <w:rPr>
      <w:rFonts w:ascii="Tahoma" w:hAnsi="Tahoma" w:cs="Tahoma"/>
      <w:sz w:val="16"/>
      <w:szCs w:val="16"/>
    </w:rPr>
  </w:style>
  <w:style w:type="character" w:styleId="Onopgelostemelding">
    <w:name w:val="Unresolved Mention"/>
    <w:uiPriority w:val="99"/>
    <w:semiHidden/>
    <w:unhideWhenUsed/>
    <w:rsid w:val="008F3E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eplink.rechtspraak.nl/uitspraak?id=ECLI:NL:HR:2012:BW499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huldinfo.nl/verjaring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EAB5F-5BFE-433B-BE5D-0A58BDFE9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Links>
    <vt:vector size="12" baseType="variant">
      <vt:variant>
        <vt:i4>7274610</vt:i4>
      </vt:variant>
      <vt:variant>
        <vt:i4>0</vt:i4>
      </vt:variant>
      <vt:variant>
        <vt:i4>0</vt:i4>
      </vt:variant>
      <vt:variant>
        <vt:i4>5</vt:i4>
      </vt:variant>
      <vt:variant>
        <vt:lpwstr>http://deeplink.rechtspraak.nl/uitspraak?id=ECLI:NL:HR:2012:BW4992</vt:lpwstr>
      </vt:variant>
      <vt:variant>
        <vt:lpwstr/>
      </vt:variant>
      <vt:variant>
        <vt:i4>7995505</vt:i4>
      </vt:variant>
      <vt:variant>
        <vt:i4>0</vt:i4>
      </vt:variant>
      <vt:variant>
        <vt:i4>0</vt:i4>
      </vt:variant>
      <vt:variant>
        <vt:i4>5</vt:i4>
      </vt:variant>
      <vt:variant>
        <vt:lpwstr>http://www.schuldinfo.nl/verjaring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</dc:creator>
  <cp:keywords/>
  <cp:lastModifiedBy>André Moerman</cp:lastModifiedBy>
  <cp:revision>2</cp:revision>
  <dcterms:created xsi:type="dcterms:W3CDTF">2021-08-20T17:02:00Z</dcterms:created>
  <dcterms:modified xsi:type="dcterms:W3CDTF">2021-08-20T17:02:00Z</dcterms:modified>
</cp:coreProperties>
</file>